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98" w:rsidRPr="007329E9" w:rsidRDefault="00217718" w:rsidP="00460DB8">
      <w:pPr>
        <w:widowControl/>
        <w:spacing w:beforeLines="50" w:afterLines="150"/>
        <w:jc w:val="center"/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</w:pPr>
      <w:r w:rsidRPr="007329E9"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太仓港经济技术开发区</w:t>
      </w:r>
      <w:r w:rsidR="005548AD"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管委会</w:t>
      </w:r>
      <w:r w:rsidRPr="007329E9"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招聘工作人员简章</w:t>
      </w:r>
    </w:p>
    <w:p w:rsidR="005548AD" w:rsidRPr="005548AD" w:rsidRDefault="005548AD" w:rsidP="007368E4">
      <w:pPr>
        <w:pStyle w:val="a9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Simsun" w:hint="eastAsia"/>
          <w:color w:val="333333"/>
          <w:sz w:val="28"/>
          <w:szCs w:val="28"/>
        </w:rPr>
      </w:pPr>
      <w:r w:rsidRPr="003820CF">
        <w:rPr>
          <w:rFonts w:ascii="仿宋_GB2312" w:eastAsia="仿宋_GB2312" w:hAnsi="Simsun" w:hint="eastAsia"/>
          <w:color w:val="333333"/>
          <w:sz w:val="28"/>
          <w:szCs w:val="28"/>
        </w:rPr>
        <w:t>为进一步保障港区经济社会发展，根据实际工作需要，经管委会研究，</w:t>
      </w:r>
      <w:r>
        <w:rPr>
          <w:rFonts w:ascii="仿宋" w:eastAsia="仿宋" w:hAnsi="仿宋" w:hint="eastAsia"/>
          <w:color w:val="000000"/>
          <w:sz w:val="30"/>
          <w:szCs w:val="30"/>
        </w:rPr>
        <w:t>现委托太仓启航人力资源有限公司</w:t>
      </w:r>
      <w:r w:rsidRPr="005548AD">
        <w:rPr>
          <w:rFonts w:ascii="仿宋_GB2312" w:eastAsia="仿宋_GB2312" w:hAnsi="Simsun" w:hint="eastAsia"/>
          <w:color w:val="333333"/>
          <w:sz w:val="28"/>
          <w:szCs w:val="28"/>
        </w:rPr>
        <w:t>面向社会公开招聘工作人员</w:t>
      </w:r>
      <w:r>
        <w:rPr>
          <w:rFonts w:ascii="仿宋_GB2312" w:eastAsia="仿宋_GB2312" w:hAnsi="Simsun" w:hint="eastAsia"/>
          <w:color w:val="333333"/>
          <w:sz w:val="28"/>
          <w:szCs w:val="28"/>
        </w:rPr>
        <w:t>10名</w:t>
      </w:r>
      <w:r w:rsidRPr="005548AD">
        <w:rPr>
          <w:rFonts w:ascii="仿宋_GB2312" w:eastAsia="仿宋_GB2312" w:hAnsi="Simsun" w:hint="eastAsia"/>
          <w:color w:val="333333"/>
          <w:sz w:val="28"/>
          <w:szCs w:val="28"/>
        </w:rPr>
        <w:t>,具体事项如下：</w:t>
      </w:r>
    </w:p>
    <w:p w:rsidR="00620698" w:rsidRPr="004861EA" w:rsidRDefault="004861EA" w:rsidP="004861EA">
      <w:pPr>
        <w:widowControl/>
        <w:spacing w:line="315" w:lineRule="atLeast"/>
        <w:ind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一、</w:t>
      </w:r>
      <w:r w:rsidR="00620698" w:rsidRP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招聘</w:t>
      </w:r>
      <w:r w:rsidRP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岗位及</w:t>
      </w:r>
      <w:r w:rsidR="00620698" w:rsidRP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条件</w:t>
      </w:r>
    </w:p>
    <w:p w:rsidR="004861EA" w:rsidRDefault="004861EA" w:rsidP="004861EA">
      <w:pPr>
        <w:ind w:firstLine="560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太仓港经济技术开发区行政</w:t>
      </w:r>
      <w:proofErr w:type="gramStart"/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审批局</w:t>
      </w:r>
      <w:proofErr w:type="gramEnd"/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工作人员9名、太仓市国土资源局港区国土资源分局工作人员1名（详见附件）。</w:t>
      </w:r>
    </w:p>
    <w:p w:rsidR="004861EA" w:rsidRDefault="004861EA" w:rsidP="004861EA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二、资格条件</w:t>
      </w:r>
    </w:p>
    <w:p w:rsidR="004861EA" w:rsidRPr="00620698" w:rsidRDefault="004861EA" w:rsidP="004861EA">
      <w:pPr>
        <w:widowControl/>
        <w:spacing w:line="315" w:lineRule="atLeast"/>
        <w:ind w:firstLineChars="200" w:firstLine="60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AE7B9C">
        <w:rPr>
          <w:rFonts w:ascii="仿宋" w:eastAsia="仿宋" w:hAnsi="仿宋" w:cs="Times New Roman" w:hint="eastAsia"/>
          <w:color w:val="000000"/>
          <w:sz w:val="30"/>
          <w:szCs w:val="30"/>
        </w:rPr>
        <w:t>1、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身体健康，遵纪守法、品行端正，无犯罪记录和道德败坏、影响社会治安等不良经历，服从组织分配，有较强的责任心。</w:t>
      </w:r>
    </w:p>
    <w:p w:rsidR="004861EA" w:rsidRPr="004861EA" w:rsidRDefault="004861EA" w:rsidP="004861EA">
      <w:pPr>
        <w:ind w:firstLine="560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、</w:t>
      </w:r>
      <w:r w:rsidRPr="009D5B28">
        <w:rPr>
          <w:rFonts w:ascii="仿宋_GB2312" w:eastAsia="仿宋_GB2312" w:hAnsi="Simsun" w:cs="宋体"/>
          <w:color w:val="333333"/>
          <w:kern w:val="0"/>
          <w:sz w:val="28"/>
          <w:szCs w:val="28"/>
        </w:rPr>
        <w:t>有下列情形之一的，不得报考：</w:t>
      </w:r>
      <w:r w:rsidRPr="009D5B2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曾受过刑事处罚、劳动教养的，曾被开除公职、开除</w:t>
      </w: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党</w:t>
      </w:r>
      <w:r w:rsidRPr="009D5B2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籍的，涉嫌违法违纪正在接受审查尚未</w:t>
      </w:r>
      <w:proofErr w:type="gramStart"/>
      <w:r w:rsidRPr="009D5B2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作出</w:t>
      </w:r>
      <w:proofErr w:type="gramEnd"/>
      <w:r w:rsidRPr="009D5B2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结论的，以及法律法规规定不符合报考条件的其他人员。</w:t>
      </w:r>
    </w:p>
    <w:p w:rsidR="00620698" w:rsidRPr="00620698" w:rsidRDefault="004861EA" w:rsidP="007329E9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三</w:t>
      </w:r>
      <w:r w:rsidR="00620698"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、报名方式</w:t>
      </w:r>
    </w:p>
    <w:p w:rsidR="00620698" w:rsidRDefault="00620698" w:rsidP="007329E9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、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报名时间：</w:t>
      </w:r>
      <w:r w:rsidR="007368E4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2019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年</w:t>
      </w:r>
      <w:r w:rsidR="007368E4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7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月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</w:t>
      </w:r>
      <w:r w:rsidR="00945CBD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25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日至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</w:t>
      </w:r>
      <w:r w:rsidR="007368E4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2019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年</w:t>
      </w:r>
      <w:r w:rsidR="00945CBD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8月</w:t>
      </w:r>
      <w:r w:rsidR="007368E4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8</w:t>
      </w:r>
      <w:r w:rsidR="00945CBD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</w:t>
      </w:r>
      <w:r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日。</w:t>
      </w:r>
    </w:p>
    <w:p w:rsidR="00620698" w:rsidRPr="00620698" w:rsidRDefault="00620698" w:rsidP="007329E9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2、</w:t>
      </w:r>
      <w:r w:rsidR="004861EA">
        <w:rPr>
          <w:rFonts w:ascii="仿宋" w:eastAsia="仿宋" w:hAnsi="仿宋" w:cs="Times New Roman" w:hint="eastAsia"/>
          <w:sz w:val="30"/>
          <w:szCs w:val="30"/>
        </w:rPr>
        <w:t>将应聘人员报名表、身份证正反面、学历证书及其他岗位所需的证件资料的扫描件发送至邮箱：</w:t>
      </w:r>
      <w:r w:rsidR="0015355A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704276100</w:t>
      </w:r>
      <w:r w:rsid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＠</w:t>
      </w:r>
      <w:r w:rsidR="0015355A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qq.com</w:t>
      </w:r>
      <w:r w:rsidR="004861EA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（备</w:t>
      </w:r>
      <w:r w:rsidR="004861EA">
        <w:rPr>
          <w:rFonts w:ascii="仿宋" w:eastAsia="仿宋" w:hAnsi="仿宋" w:cs="Times New Roman" w:hint="eastAsia"/>
          <w:color w:val="000000"/>
          <w:sz w:val="30"/>
          <w:szCs w:val="30"/>
        </w:rPr>
        <w:t>注应聘岗位名称）</w:t>
      </w:r>
    </w:p>
    <w:p w:rsidR="009D5B28" w:rsidRPr="00620698" w:rsidRDefault="00620698" w:rsidP="004861EA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3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、咨询电话：</w:t>
      </w:r>
      <w:r w:rsidR="0015355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0512-56660075</w:t>
      </w:r>
    </w:p>
    <w:p w:rsidR="00620698" w:rsidRPr="007329E9" w:rsidRDefault="00620698" w:rsidP="007329E9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三、录用办法</w:t>
      </w:r>
    </w:p>
    <w:p w:rsidR="004861EA" w:rsidRPr="007329E9" w:rsidRDefault="004861EA" w:rsidP="004861EA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lastRenderedPageBreak/>
        <w:t>1、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面试：</w:t>
      </w: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对照招聘条件和岗位要求由用人单位组织专家组</w:t>
      </w:r>
      <w:proofErr w:type="gramStart"/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进行人岗相</w:t>
      </w:r>
      <w:proofErr w:type="gramEnd"/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适度评价，根据招聘者提供的信息资料逐个评价，确定面试人选。</w:t>
      </w:r>
      <w:r w:rsidRPr="007329E9">
        <w:rPr>
          <w:rFonts w:ascii="仿宋_GB2312" w:eastAsia="仿宋_GB2312" w:hAnsi="Simsun" w:cs="宋体"/>
          <w:color w:val="333333"/>
          <w:kern w:val="0"/>
          <w:sz w:val="28"/>
          <w:szCs w:val="28"/>
        </w:rPr>
        <w:t>面试主要考察应聘人员的精神面貌、语言表达能力、应变能力等综合素质。面试时间、地点另行通知。</w:t>
      </w:r>
    </w:p>
    <w:p w:rsidR="004861EA" w:rsidRPr="00620698" w:rsidRDefault="004861EA" w:rsidP="004861EA">
      <w:pPr>
        <w:widowControl/>
        <w:spacing w:line="315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、录用：本次招聘人员均为企业性质，</w:t>
      </w:r>
      <w:r w:rsid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与</w:t>
      </w:r>
      <w:r w:rsidR="00A504DB"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太仓</w:t>
      </w:r>
      <w:r w:rsid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启航人力资源有限公司</w:t>
      </w:r>
      <w:r w:rsidR="00945CBD" w:rsidRPr="00A504DB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签订劳动合同</w:t>
      </w:r>
      <w:r w:rsidR="00460DB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。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录用人选经体检、考察</w:t>
      </w: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、公示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后，</w:t>
      </w: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办理录用手续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，并按国家规定</w:t>
      </w:r>
      <w:r w:rsidR="00945CBD" w:rsidRPr="00A504DB">
        <w:rPr>
          <w:rFonts w:ascii="仿宋_GB2312" w:eastAsia="仿宋_GB2312" w:hAnsi="Simsun" w:cs="宋体" w:hint="eastAsia"/>
          <w:kern w:val="0"/>
          <w:sz w:val="28"/>
          <w:szCs w:val="28"/>
        </w:rPr>
        <w:t>全额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缴纳社会保险及公积金，</w:t>
      </w:r>
      <w:r w:rsidRPr="00620698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年薪不低于6万元（税前）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。</w:t>
      </w:r>
      <w:r w:rsidRPr="007329E9">
        <w:rPr>
          <w:rFonts w:ascii="仿宋_GB2312" w:eastAsia="仿宋_GB2312" w:hAnsi="Simsun" w:cs="宋体"/>
          <w:color w:val="333333"/>
          <w:kern w:val="0"/>
          <w:sz w:val="28"/>
          <w:szCs w:val="28"/>
        </w:rPr>
        <w:t>录用人员试用期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三</w:t>
      </w:r>
      <w:r w:rsidRPr="007329E9">
        <w:rPr>
          <w:rFonts w:ascii="仿宋_GB2312" w:eastAsia="仿宋_GB2312" w:hAnsi="Simsun" w:cs="宋体"/>
          <w:color w:val="333333"/>
          <w:kern w:val="0"/>
          <w:sz w:val="28"/>
          <w:szCs w:val="28"/>
        </w:rPr>
        <w:t>个月</w:t>
      </w:r>
      <w:r w:rsidRPr="007329E9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，试用期考核不合格，解除劳动合同。</w:t>
      </w:r>
    </w:p>
    <w:p w:rsidR="00620698" w:rsidRPr="004861EA" w:rsidRDefault="00620698" w:rsidP="007329E9">
      <w:pPr>
        <w:widowControl/>
        <w:spacing w:line="315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620698" w:rsidRPr="00351B93" w:rsidRDefault="00620698" w:rsidP="00620698">
      <w:pPr>
        <w:widowControl/>
        <w:spacing w:line="315" w:lineRule="atLeast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</w:p>
    <w:p w:rsidR="00620698" w:rsidRPr="00351B93" w:rsidRDefault="00620698" w:rsidP="00620698">
      <w:pPr>
        <w:widowControl/>
        <w:spacing w:line="315" w:lineRule="atLeast"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         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             </w:t>
      </w: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   </w:t>
      </w:r>
      <w:r w:rsid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  </w:t>
      </w: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太仓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启航人力资源有限公司</w:t>
      </w:r>
    </w:p>
    <w:p w:rsidR="00856EFE" w:rsidRDefault="00620698" w:rsidP="00351B93">
      <w:pPr>
        <w:widowControl/>
        <w:jc w:val="center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 xml:space="preserve">                          201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9</w:t>
      </w: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年</w:t>
      </w:r>
      <w:r w:rsidR="004861EA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7</w:t>
      </w: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月</w:t>
      </w:r>
      <w:r w:rsidR="00F87A45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25</w:t>
      </w:r>
      <w:r w:rsidRPr="00351B93"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t>日</w:t>
      </w:r>
    </w:p>
    <w:p w:rsidR="00856EFE" w:rsidRDefault="00856EFE">
      <w:pPr>
        <w:widowControl/>
        <w:jc w:val="left"/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  <w:br w:type="page"/>
      </w:r>
    </w:p>
    <w:p w:rsidR="00856EFE" w:rsidRDefault="00856EFE" w:rsidP="00351B93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  <w:sectPr w:rsidR="00856EFE" w:rsidSect="00351B93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56EFE" w:rsidRDefault="00856EFE" w:rsidP="00856EFE">
      <w:pPr>
        <w:widowControl/>
        <w:ind w:firstLineChars="100" w:firstLine="281"/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</w:pPr>
      <w:r w:rsidRPr="001A4052">
        <w:rPr>
          <w:rFonts w:ascii="仿宋_GB2312" w:eastAsia="仿宋_GB2312" w:hAnsi="Simsun" w:cs="宋体" w:hint="eastAsia"/>
          <w:b/>
          <w:color w:val="333333"/>
          <w:kern w:val="0"/>
          <w:sz w:val="28"/>
          <w:szCs w:val="28"/>
        </w:rPr>
        <w:lastRenderedPageBreak/>
        <w:t>附件</w:t>
      </w:r>
    </w:p>
    <w:p w:rsidR="00856EFE" w:rsidRPr="00A504DB" w:rsidRDefault="00856EFE" w:rsidP="00460DB8">
      <w:pPr>
        <w:widowControl/>
        <w:spacing w:afterLines="100"/>
        <w:ind w:firstLineChars="100" w:firstLine="361"/>
        <w:jc w:val="center"/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</w:pPr>
      <w:r w:rsidRPr="007329E9"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太仓港经济技术开发区</w:t>
      </w:r>
      <w:r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管委会</w:t>
      </w:r>
      <w:r w:rsidRPr="007329E9"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招聘工作人员</w:t>
      </w:r>
      <w:r w:rsidR="00A504DB" w:rsidRPr="00A504DB">
        <w:rPr>
          <w:rFonts w:ascii="仿宋_GB2312" w:eastAsia="仿宋_GB2312" w:hAnsi="Simsun" w:cs="宋体" w:hint="eastAsia"/>
          <w:b/>
          <w:color w:val="333333"/>
          <w:kern w:val="0"/>
          <w:sz w:val="36"/>
          <w:szCs w:val="36"/>
        </w:rPr>
        <w:t>岗位及条件</w:t>
      </w:r>
    </w:p>
    <w:tbl>
      <w:tblPr>
        <w:tblW w:w="13987" w:type="dxa"/>
        <w:jc w:val="center"/>
        <w:tblInd w:w="-2995" w:type="dxa"/>
        <w:tblLook w:val="0000"/>
      </w:tblPr>
      <w:tblGrid>
        <w:gridCol w:w="2081"/>
        <w:gridCol w:w="1435"/>
        <w:gridCol w:w="1830"/>
        <w:gridCol w:w="1526"/>
        <w:gridCol w:w="7115"/>
      </w:tblGrid>
      <w:tr w:rsidR="00856EFE" w:rsidRPr="007B2D3F" w:rsidTr="007368E4">
        <w:trPr>
          <w:trHeight w:val="829"/>
          <w:jc w:val="center"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FE" w:rsidRPr="00716712" w:rsidRDefault="00856EFE" w:rsidP="00F22D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167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招聘岗位名称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716712" w:rsidRDefault="00856EFE" w:rsidP="00F22D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167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716712" w:rsidRDefault="00856EFE" w:rsidP="00F22D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167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716712" w:rsidRDefault="00856EFE" w:rsidP="00F22D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1671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其他条件</w:t>
            </w:r>
          </w:p>
        </w:tc>
      </w:tr>
      <w:tr w:rsidR="00856EFE" w:rsidRPr="00BF0DEC" w:rsidTr="00977178">
        <w:trPr>
          <w:trHeight w:val="711"/>
          <w:jc w:val="center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6EFE" w:rsidRPr="00BF0DEC" w:rsidRDefault="00856EFE" w:rsidP="00856EF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港区行政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审批局</w:t>
            </w:r>
            <w:proofErr w:type="gramEnd"/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窗口工作人员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企业登记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大专及以</w:t>
            </w:r>
            <w:bookmarkStart w:id="0" w:name="_GoBack"/>
            <w:bookmarkEnd w:id="0"/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BF0DEC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1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35周岁以下</w:t>
            </w:r>
            <w:r w:rsidR="007368E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（1984年1月1日以后出生，以下类推）</w:t>
            </w: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，</w:t>
            </w:r>
            <w:r w:rsidRPr="00BF0DEC">
              <w:rPr>
                <w:rFonts w:ascii="Helvetica" w:hAnsi="Helvetica" w:cs="Helvetica" w:hint="eastAsia"/>
                <w:color w:val="000000" w:themeColor="text1"/>
                <w:sz w:val="24"/>
                <w:shd w:val="clear" w:color="auto" w:fill="FFFFFF"/>
              </w:rPr>
              <w:t>专业不限</w:t>
            </w: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。具有较强的执行力，工作严谨细致，沟通协调力强，有窗口工作经验优先。</w:t>
            </w:r>
          </w:p>
        </w:tc>
      </w:tr>
      <w:tr w:rsidR="00856EFE" w:rsidRPr="00BF0DEC" w:rsidTr="00977178">
        <w:trPr>
          <w:trHeight w:val="694"/>
          <w:jc w:val="center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项目备案</w:t>
            </w:r>
          </w:p>
        </w:tc>
        <w:tc>
          <w:tcPr>
            <w:tcW w:w="1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BF0DEC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1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56EFE" w:rsidRPr="00BF0DEC" w:rsidTr="007368E4">
        <w:trPr>
          <w:trHeight w:val="760"/>
          <w:jc w:val="center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投资建设</w:t>
            </w:r>
          </w:p>
        </w:tc>
        <w:tc>
          <w:tcPr>
            <w:tcW w:w="18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BF0DEC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1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56EFE" w:rsidRPr="00BF0DEC" w:rsidTr="007368E4">
        <w:trPr>
          <w:trHeight w:val="687"/>
          <w:jc w:val="center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社会事务</w:t>
            </w: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BF0DEC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56EFE" w:rsidRPr="00BF0DEC" w:rsidTr="007368E4">
        <w:trPr>
          <w:trHeight w:val="1102"/>
          <w:jc w:val="center"/>
        </w:trPr>
        <w:tc>
          <w:tcPr>
            <w:tcW w:w="3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FE" w:rsidRPr="00BF0DEC" w:rsidRDefault="00856EFE" w:rsidP="00856EF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港区行政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审批局</w:t>
            </w:r>
            <w:proofErr w:type="gramEnd"/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综合工作人员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BF0DEC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35周岁以下，中文、文秘、行政管理或档案管理等相关专业；1年以上工作经验，熟悉办公室行政管理流程；具有较强文字撰写能力，工作严谨细致，沟通协调力强。</w:t>
            </w:r>
          </w:p>
        </w:tc>
      </w:tr>
      <w:tr w:rsidR="00856EFE" w:rsidRPr="00BF0DEC" w:rsidTr="007368E4">
        <w:trPr>
          <w:trHeight w:val="1102"/>
          <w:jc w:val="center"/>
        </w:trPr>
        <w:tc>
          <w:tcPr>
            <w:tcW w:w="3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港区国</w:t>
            </w:r>
            <w:r w:rsidRPr="00A504DB">
              <w:rPr>
                <w:rFonts w:ascii="宋体" w:hAnsi="宋体" w:cs="宋体"/>
                <w:kern w:val="0"/>
                <w:sz w:val="24"/>
              </w:rPr>
              <w:t>土</w:t>
            </w:r>
            <w:r w:rsidR="00945CBD" w:rsidRPr="00A504DB">
              <w:rPr>
                <w:rFonts w:ascii="宋体" w:hAnsi="宋体" w:cs="宋体" w:hint="eastAsia"/>
                <w:kern w:val="0"/>
                <w:sz w:val="24"/>
              </w:rPr>
              <w:t>资源</w:t>
            </w:r>
            <w:r w:rsidRPr="00A504DB">
              <w:rPr>
                <w:rFonts w:ascii="宋体" w:hAnsi="宋体" w:cs="宋体"/>
                <w:kern w:val="0"/>
                <w:sz w:val="24"/>
              </w:rPr>
              <w:t>分局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工作人员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7368E4" w:rsidP="00F22D3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FE" w:rsidRPr="00BF0DEC" w:rsidRDefault="00856EFE" w:rsidP="00F22D3C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DB" w:rsidRDefault="00945CBD" w:rsidP="00977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A5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40</w:t>
            </w:r>
            <w:r w:rsidR="007368E4" w:rsidRPr="00BF0DEC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周岁以下，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太仓</w:t>
            </w:r>
            <w:r w:rsidR="00A5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户籍，</w:t>
            </w:r>
            <w:r w:rsidR="007368E4" w:rsidRPr="00BF0DEC">
              <w:rPr>
                <w:rFonts w:ascii="Helvetica" w:hAnsi="Helvetica" w:cs="Helvetica" w:hint="eastAsia"/>
                <w:color w:val="000000" w:themeColor="text1"/>
                <w:sz w:val="24"/>
                <w:shd w:val="clear" w:color="auto" w:fill="FFFFFF"/>
              </w:rPr>
              <w:t>专业不限</w:t>
            </w:r>
            <w:r w:rsidR="00A5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，</w:t>
            </w:r>
            <w:r w:rsidR="007368E4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熟练掌握驾驶技术</w:t>
            </w:r>
            <w:r w:rsidR="00A504D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。</w:t>
            </w:r>
          </w:p>
          <w:p w:rsidR="00856EFE" w:rsidRPr="00BF0DEC" w:rsidRDefault="007368E4" w:rsidP="009771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男性优先。</w:t>
            </w:r>
          </w:p>
        </w:tc>
      </w:tr>
    </w:tbl>
    <w:p w:rsidR="00E03F1E" w:rsidRPr="00856EFE" w:rsidRDefault="00E03F1E" w:rsidP="007368E4">
      <w:pPr>
        <w:widowControl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E03F1E" w:rsidRPr="00856EFE" w:rsidSect="00856EF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EE" w:rsidRDefault="00E55EEE" w:rsidP="000A28F0">
      <w:r>
        <w:separator/>
      </w:r>
    </w:p>
  </w:endnote>
  <w:endnote w:type="continuationSeparator" w:id="0">
    <w:p w:rsidR="00E55EEE" w:rsidRDefault="00E55EEE" w:rsidP="000A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EE" w:rsidRDefault="00E55EEE" w:rsidP="000A28F0">
      <w:r>
        <w:separator/>
      </w:r>
    </w:p>
  </w:footnote>
  <w:footnote w:type="continuationSeparator" w:id="0">
    <w:p w:rsidR="00E55EEE" w:rsidRDefault="00E55EEE" w:rsidP="000A2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4FAE"/>
    <w:multiLevelType w:val="hybridMultilevel"/>
    <w:tmpl w:val="7CCC1DAC"/>
    <w:lvl w:ilvl="0" w:tplc="3DCACFA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F9F33C5"/>
    <w:multiLevelType w:val="hybridMultilevel"/>
    <w:tmpl w:val="B6F8CF04"/>
    <w:lvl w:ilvl="0" w:tplc="DD5EDE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18"/>
    <w:rsid w:val="00027371"/>
    <w:rsid w:val="00041324"/>
    <w:rsid w:val="00090C15"/>
    <w:rsid w:val="000A28F0"/>
    <w:rsid w:val="000E57F9"/>
    <w:rsid w:val="001017F8"/>
    <w:rsid w:val="00104A22"/>
    <w:rsid w:val="00121E0D"/>
    <w:rsid w:val="0015355A"/>
    <w:rsid w:val="00171B39"/>
    <w:rsid w:val="001743E0"/>
    <w:rsid w:val="001B3298"/>
    <w:rsid w:val="00213691"/>
    <w:rsid w:val="00217718"/>
    <w:rsid w:val="0023106C"/>
    <w:rsid w:val="002515FF"/>
    <w:rsid w:val="002C6642"/>
    <w:rsid w:val="003238F3"/>
    <w:rsid w:val="00351B93"/>
    <w:rsid w:val="003654B5"/>
    <w:rsid w:val="00365D6F"/>
    <w:rsid w:val="003820CF"/>
    <w:rsid w:val="00387644"/>
    <w:rsid w:val="003A1381"/>
    <w:rsid w:val="003B6F70"/>
    <w:rsid w:val="003D31ED"/>
    <w:rsid w:val="003D43EA"/>
    <w:rsid w:val="004076E1"/>
    <w:rsid w:val="00460DB8"/>
    <w:rsid w:val="00470972"/>
    <w:rsid w:val="004861EA"/>
    <w:rsid w:val="00487BB2"/>
    <w:rsid w:val="00490600"/>
    <w:rsid w:val="004A3511"/>
    <w:rsid w:val="004B338B"/>
    <w:rsid w:val="004D02DD"/>
    <w:rsid w:val="005548AD"/>
    <w:rsid w:val="00572B51"/>
    <w:rsid w:val="005A71EB"/>
    <w:rsid w:val="00620698"/>
    <w:rsid w:val="0064128E"/>
    <w:rsid w:val="006610CB"/>
    <w:rsid w:val="007329E9"/>
    <w:rsid w:val="00734FD4"/>
    <w:rsid w:val="007355FA"/>
    <w:rsid w:val="00735812"/>
    <w:rsid w:val="00735CB1"/>
    <w:rsid w:val="007368E4"/>
    <w:rsid w:val="00755E2B"/>
    <w:rsid w:val="007900C5"/>
    <w:rsid w:val="007A12CE"/>
    <w:rsid w:val="007C653F"/>
    <w:rsid w:val="00817A65"/>
    <w:rsid w:val="00851F32"/>
    <w:rsid w:val="00856EFE"/>
    <w:rsid w:val="008B0945"/>
    <w:rsid w:val="008B5919"/>
    <w:rsid w:val="008C01A0"/>
    <w:rsid w:val="008C29D8"/>
    <w:rsid w:val="008F180D"/>
    <w:rsid w:val="00945CBD"/>
    <w:rsid w:val="00955B35"/>
    <w:rsid w:val="009614B3"/>
    <w:rsid w:val="00977178"/>
    <w:rsid w:val="009863B1"/>
    <w:rsid w:val="009C0691"/>
    <w:rsid w:val="009D5B28"/>
    <w:rsid w:val="00A13B51"/>
    <w:rsid w:val="00A16D89"/>
    <w:rsid w:val="00A504DB"/>
    <w:rsid w:val="00A67E0D"/>
    <w:rsid w:val="00A723FC"/>
    <w:rsid w:val="00AF0BF3"/>
    <w:rsid w:val="00B26647"/>
    <w:rsid w:val="00B5522F"/>
    <w:rsid w:val="00B6488C"/>
    <w:rsid w:val="00B65A48"/>
    <w:rsid w:val="00B716EA"/>
    <w:rsid w:val="00C3474E"/>
    <w:rsid w:val="00CF2589"/>
    <w:rsid w:val="00CF5BE5"/>
    <w:rsid w:val="00D8761B"/>
    <w:rsid w:val="00DF18D5"/>
    <w:rsid w:val="00DF2A00"/>
    <w:rsid w:val="00E02CC2"/>
    <w:rsid w:val="00E03F1E"/>
    <w:rsid w:val="00E55EEE"/>
    <w:rsid w:val="00E662AD"/>
    <w:rsid w:val="00F26443"/>
    <w:rsid w:val="00F43468"/>
    <w:rsid w:val="00F64C61"/>
    <w:rsid w:val="00F87A45"/>
    <w:rsid w:val="00FF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718"/>
  </w:style>
  <w:style w:type="character" w:styleId="a3">
    <w:name w:val="Hyperlink"/>
    <w:basedOn w:val="a0"/>
    <w:uiPriority w:val="99"/>
    <w:semiHidden/>
    <w:unhideWhenUsed/>
    <w:rsid w:val="00217718"/>
    <w:rPr>
      <w:color w:val="0000FF"/>
      <w:u w:val="single"/>
    </w:rPr>
  </w:style>
  <w:style w:type="character" w:styleId="a4">
    <w:name w:val="Strong"/>
    <w:basedOn w:val="a0"/>
    <w:uiPriority w:val="22"/>
    <w:qFormat/>
    <w:rsid w:val="0021771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A2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A28F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A2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A28F0"/>
    <w:rPr>
      <w:sz w:val="18"/>
      <w:szCs w:val="18"/>
    </w:rPr>
  </w:style>
  <w:style w:type="paragraph" w:styleId="a7">
    <w:name w:val="List Paragraph"/>
    <w:basedOn w:val="a"/>
    <w:uiPriority w:val="34"/>
    <w:qFormat/>
    <w:rsid w:val="007C653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C66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664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54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5F863-DB03-4D1E-8BDB-138C6563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xx</cp:lastModifiedBy>
  <cp:revision>7</cp:revision>
  <cp:lastPrinted>2019-07-24T07:36:00Z</cp:lastPrinted>
  <dcterms:created xsi:type="dcterms:W3CDTF">2019-07-24T06:58:00Z</dcterms:created>
  <dcterms:modified xsi:type="dcterms:W3CDTF">2019-07-24T07:41:00Z</dcterms:modified>
</cp:coreProperties>
</file>